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36 </w:t>
      </w:r>
      <w:r w:rsidRPr="00851CFD">
        <w:rPr>
          <w:rFonts w:hint="eastAsia"/>
          <w:b/>
        </w:rPr>
        <w:t>存档序号：</w:t>
      </w:r>
      <w:r w:rsidR="00851CFD" w:rsidRPr="00851CFD">
        <w:rPr>
          <w:rFonts w:hint="eastAsia"/>
          <w:b/>
        </w:rPr>
        <w:t xml:space="preserve">12</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柏  赟</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8486</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副院长</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中国系统工程学会理事兼交通运输系统工程专业委员会秘书长；中国应急学会安全生产工作委员会委员；《交通运输系统工程与信息》副主编。</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每年承担教学总时数一般不少于 64，其中承担本科生课学时数一般不少于 32，教学效果良好；主持建设一门本科生主干课程或新开并建设好一门本科生或研究生课程；高质量地培养本科生、研究生、留学生，每年指导本科毕业设计（论文）不少于 2 人，指导研究生学位论文抽检结果良好。</w:t>
            </w:r>
          </w:p>
        </w:tc>
        <w:tc>
          <w:tcPr>
            <w:tcW w:w="4060" w:type="dxa"/>
            <w:vAlign w:val="center"/>
          </w:tcPr>
          <w:p w:rsidR="005F7B8B" w:rsidRPr="00673F17" w:rsidRDefault="00851CFD" w:rsidP="00851CFD">
            <w:pPr>
              <w:jc w:val="left"/>
            </w:pPr>
            <w:r>
              <w:rPr>
                <w:rFonts w:hint="eastAsia"/>
              </w:rPr>
              <w:t xml:space="preserve">每年承担教学总时数79，其中承担本科生课学时数超过一半，教学效果良好；主持建设一门本科生主干课程；高质量地培养本科生、研究生、留学生，每年指导本科毕业设计（论文）3 人，指导研究生学位论文抽检结果良好,1位同学获校优秀硕士论文。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主持四类课题 1 项，且分摊经费达到160 万元。</w:t>
            </w:r>
          </w:p>
        </w:tc>
        <w:tc>
          <w:tcPr>
            <w:tcW w:w="4060" w:type="dxa"/>
            <w:vAlign w:val="center"/>
          </w:tcPr>
          <w:p w:rsidR="005F7B8B" w:rsidRPr="00673F17" w:rsidRDefault="00851CFD" w:rsidP="00851CFD">
            <w:pPr>
              <w:jc w:val="left"/>
            </w:pPr>
            <w:r>
              <w:rPr>
                <w:rFonts w:hint="eastAsia"/>
              </w:rPr>
              <w:t xml:space="preserve">主持国家自然科学基金面上项目1 项、其他省部级课题4项，合同经费930万元，分摊经费超过200 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以第一作者或指导研究生为第一作者发表高水平论文 4 篇。</w:t>
            </w:r>
          </w:p>
        </w:tc>
        <w:tc>
          <w:tcPr>
            <w:tcW w:w="4060" w:type="dxa"/>
            <w:vAlign w:val="center"/>
          </w:tcPr>
          <w:p w:rsidR="005F7B8B" w:rsidRPr="00673F17" w:rsidRDefault="00851CFD" w:rsidP="00851CFD">
            <w:pPr>
              <w:jc w:val="left"/>
            </w:pPr>
            <w:r>
              <w:rPr>
                <w:rFonts w:hint="eastAsia"/>
              </w:rPr>
              <w:t xml:space="preserve">以第一作者或指导研究生为第一作者发表SCI检索论文 7 篇、EI检索期刊论文9篇。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承担了校、院、系所的相关本科、研究生教学组织工作，积极参加工会活动，获得乒乓球团队冠军和男子单打第三名。</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 1 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举办RailBeijing、ICTTS'2024、Smart Urban Rail Transit System、三届ISROR国际学术研讨会。</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所主持的科研、教改项目获得省部级以上奖励。聘期内获得国家级科研奖励（有证书）；或获得省部级科研奖励一等奖（排名前 10）、二等奖（排名前 7）；或获得国家级优秀教学成果奖（有个人证书）；或获得北京市优秀教学成果奖（排名前 5）</w:t>
            </w:r>
          </w:p>
        </w:tc>
        <w:tc>
          <w:tcPr>
            <w:tcW w:w="4060" w:type="dxa"/>
            <w:vAlign w:val="center"/>
          </w:tcPr>
          <w:p w:rsidR="005F7B8B" w:rsidRPr="00673F17" w:rsidRDefault="00851CFD" w:rsidP="00851CFD">
            <w:pPr>
              <w:jc w:val="left"/>
            </w:pPr>
            <w:r>
              <w:rPr>
                <w:rFonts w:hint="eastAsia"/>
              </w:rPr>
              <w:t xml:space="preserve">聘期内获得省部级科研奖励二等奖（排名第6）。</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本聘期内，担任“轨道交通资产管理与经营”课程组负责人，承担国家精品课程“城市轨道交通规划与设计”“交通运输大类专业导论”“城市轨道交通综合实验”“轨道交通列车运行控制技术”“轨道交通网络化运营组织理论与技术”“综合运输理论”等课程教学，指导研究生顺利毕业博士3人、硕士21人，新增主持科研项目10项，发表论文30余篇，参编教材2部，主编专著1部，参与了城市轨道交通专业领域的3项国家标准与1项北京市地方标准的编制工作，入选国家级青年高层次人才计划，超额达到合同任务书中岗位履职要求。
                <w:br/>
                <w:br/>
                本人在指导学生获得高水平竞赛奖励、教材主编、主持申请省部级科技奖等方面还存在不足，下一步将持续提升人才培养能力、做好课程教材建设、积极申报省部级科技奖，为提高学校在交通运输规划与管理尤其是城市轨道交通与综合交通研究方向的影响力贡献自己的力量。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